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12" w:rsidRPr="00883C88" w:rsidRDefault="00C63D12" w:rsidP="00C63D12">
      <w:pPr>
        <w:spacing w:after="160" w:line="259" w:lineRule="auto"/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  <w:r w:rsidRPr="00883C88">
        <w:rPr>
          <w:rFonts w:ascii="Calibri" w:eastAsia="Calibri" w:hAnsi="Calibri"/>
          <w:b/>
          <w:noProof/>
          <w:sz w:val="32"/>
          <w:szCs w:val="22"/>
        </w:rPr>
        <w:drawing>
          <wp:inline distT="0" distB="0" distL="0" distR="0" wp14:anchorId="053991FA" wp14:editId="0CA1D365">
            <wp:extent cx="1762699" cy="1631641"/>
            <wp:effectExtent l="0" t="0" r="9525" b="6985"/>
            <wp:docPr id="43" name="Image 43" descr="C:\Users\EREMIP\Desktop\ERER OCCITANIE\LOGOS\Logo petit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EMIP\Desktop\ERER OCCITANIE\LOGOS\Logo petit forma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17" cy="16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C88">
        <w:rPr>
          <w:rFonts w:ascii="Calibri" w:eastAsia="Calibri" w:hAnsi="Calibri"/>
          <w:b/>
          <w:noProof/>
          <w:sz w:val="32"/>
          <w:szCs w:val="22"/>
        </w:rPr>
        <w:drawing>
          <wp:inline distT="0" distB="0" distL="0" distR="0" wp14:anchorId="37377B06" wp14:editId="667763FE">
            <wp:extent cx="3690651" cy="1605946"/>
            <wp:effectExtent l="0" t="0" r="508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51" cy="1612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D12" w:rsidRPr="00883C88" w:rsidRDefault="00C63D12" w:rsidP="00C63D12">
      <w:pPr>
        <w:spacing w:after="160" w:line="259" w:lineRule="auto"/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</w:p>
    <w:p w:rsidR="00C63D12" w:rsidRPr="00D4719E" w:rsidRDefault="00C63D12" w:rsidP="00C63D12">
      <w:pPr>
        <w:jc w:val="center"/>
        <w:rPr>
          <w:rFonts w:ascii="Gadugi" w:eastAsia="Calibri" w:hAnsi="Gadugi"/>
          <w:b/>
          <w:color w:val="404040" w:themeColor="text1" w:themeTint="BF"/>
          <w:sz w:val="32"/>
          <w:szCs w:val="32"/>
          <w:lang w:eastAsia="en-US"/>
        </w:rPr>
      </w:pPr>
      <w:r w:rsidRPr="00D4719E">
        <w:rPr>
          <w:rFonts w:ascii="Gadugi" w:eastAsia="Calibri" w:hAnsi="Gadugi"/>
          <w:b/>
          <w:color w:val="404040" w:themeColor="text1" w:themeTint="BF"/>
          <w:sz w:val="32"/>
          <w:szCs w:val="32"/>
          <w:lang w:eastAsia="en-US"/>
        </w:rPr>
        <w:t>Etats généraux de la bioéthique</w:t>
      </w:r>
    </w:p>
    <w:p w:rsidR="00C63D12" w:rsidRPr="00D4719E" w:rsidRDefault="00C63D12" w:rsidP="00C63D12">
      <w:pPr>
        <w:jc w:val="center"/>
        <w:rPr>
          <w:rFonts w:ascii="Gadugi" w:eastAsia="Calibri" w:hAnsi="Gadugi"/>
          <w:b/>
          <w:color w:val="404040" w:themeColor="text1" w:themeTint="BF"/>
          <w:sz w:val="32"/>
          <w:szCs w:val="32"/>
          <w:lang w:eastAsia="en-US"/>
        </w:rPr>
      </w:pPr>
      <w:r w:rsidRPr="00D4719E">
        <w:rPr>
          <w:rFonts w:ascii="Gadugi" w:eastAsia="Calibri" w:hAnsi="Gadugi"/>
          <w:b/>
          <w:color w:val="404040" w:themeColor="text1" w:themeTint="BF"/>
          <w:sz w:val="32"/>
          <w:szCs w:val="32"/>
          <w:lang w:eastAsia="en-US"/>
        </w:rPr>
        <w:t>Rapport de synthèse ERE Occitanie</w:t>
      </w:r>
    </w:p>
    <w:p w:rsidR="00C63D12" w:rsidRPr="00AE4FE6" w:rsidRDefault="00C63D12" w:rsidP="00C63D12">
      <w:pPr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b/>
          <w:i/>
          <w:color w:val="404040" w:themeColor="text1" w:themeTint="BF"/>
          <w:sz w:val="22"/>
          <w:szCs w:val="22"/>
          <w:lang w:eastAsia="en-US"/>
        </w:rPr>
      </w:pPr>
    </w:p>
    <w:p w:rsidR="00C63D12" w:rsidRPr="00D4719E" w:rsidRDefault="00C63D12" w:rsidP="00C63D12">
      <w:pPr>
        <w:spacing w:line="259" w:lineRule="auto"/>
        <w:jc w:val="center"/>
        <w:rPr>
          <w:rFonts w:ascii="Gadugi" w:eastAsia="Calibri" w:hAnsi="Gadugi"/>
          <w:b/>
          <w:i/>
          <w:color w:val="404040" w:themeColor="text1" w:themeTint="BF"/>
          <w:sz w:val="26"/>
          <w:szCs w:val="26"/>
          <w:lang w:eastAsia="en-US"/>
        </w:rPr>
      </w:pPr>
      <w:r w:rsidRPr="00D4719E">
        <w:rPr>
          <w:rFonts w:ascii="Gadugi" w:eastAsia="Calibri" w:hAnsi="Gadugi"/>
          <w:b/>
          <w:i/>
          <w:color w:val="404040" w:themeColor="text1" w:themeTint="BF"/>
          <w:sz w:val="26"/>
          <w:szCs w:val="26"/>
          <w:lang w:eastAsia="en-US"/>
        </w:rPr>
        <w:t>Thème 1 : « Application de l’intelligence artificielle en santé :</w:t>
      </w:r>
    </w:p>
    <w:p w:rsidR="00C63D12" w:rsidRPr="00D4719E" w:rsidRDefault="00C63D12" w:rsidP="00C63D12">
      <w:pPr>
        <w:spacing w:line="259" w:lineRule="auto"/>
        <w:jc w:val="center"/>
        <w:rPr>
          <w:rFonts w:ascii="Gadugi" w:eastAsia="Calibri" w:hAnsi="Gadugi"/>
          <w:b/>
          <w:i/>
          <w:color w:val="404040" w:themeColor="text1" w:themeTint="BF"/>
          <w:sz w:val="26"/>
          <w:szCs w:val="26"/>
          <w:lang w:eastAsia="en-US"/>
        </w:rPr>
      </w:pPr>
      <w:proofErr w:type="gramStart"/>
      <w:r w:rsidRPr="00D4719E">
        <w:rPr>
          <w:rFonts w:ascii="Gadugi" w:eastAsia="Calibri" w:hAnsi="Gadugi"/>
          <w:b/>
          <w:i/>
          <w:color w:val="404040" w:themeColor="text1" w:themeTint="BF"/>
          <w:sz w:val="26"/>
          <w:szCs w:val="26"/>
          <w:lang w:eastAsia="en-US"/>
        </w:rPr>
        <w:t>e-</w:t>
      </w:r>
      <w:proofErr w:type="gramEnd"/>
      <w:r w:rsidRPr="00D4719E">
        <w:rPr>
          <w:rFonts w:ascii="Gadugi" w:eastAsia="Calibri" w:hAnsi="Gadugi"/>
          <w:b/>
          <w:i/>
          <w:color w:val="404040" w:themeColor="text1" w:themeTint="BF"/>
          <w:sz w:val="26"/>
          <w:szCs w:val="26"/>
          <w:lang w:eastAsia="en-US"/>
        </w:rPr>
        <w:t>santé, objets connectés, données personnelles »</w:t>
      </w:r>
    </w:p>
    <w:p w:rsidR="00C63D12" w:rsidRPr="00AE4FE6" w:rsidRDefault="00C63D12" w:rsidP="00C63D12">
      <w:pPr>
        <w:spacing w:after="160" w:line="259" w:lineRule="auto"/>
        <w:jc w:val="both"/>
        <w:rPr>
          <w:rFonts w:ascii="Gadugi" w:eastAsia="Calibri" w:hAnsi="Gadugi"/>
          <w:b/>
          <w:i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>Introduction sur le thème</w:t>
      </w:r>
    </w:p>
    <w:p w:rsidR="00C63D12" w:rsidRPr="00AE4FE6" w:rsidRDefault="00C63D12" w:rsidP="00C63D12">
      <w:pPr>
        <w:spacing w:after="160" w:line="259" w:lineRule="auto"/>
        <w:ind w:left="720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Les nouvelles techniques dérivées de l’informatique et du numérique sont déjà présentes aujourd’hui : télémédecine, télésurveillance, robots, prothèses, logiciels d’aide au diagnostic, sites web médicaux …</w:t>
      </w:r>
    </w:p>
    <w:p w:rsidR="00C63D12" w:rsidRPr="00AE4FE6" w:rsidRDefault="00C63D12" w:rsidP="00C63D12">
      <w:p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Leur développement soulève des questions à propos de  leur application : </w:t>
      </w:r>
    </w:p>
    <w:p w:rsidR="00C63D12" w:rsidRPr="00AE4FE6" w:rsidRDefault="00C63D12" w:rsidP="00C63D12">
      <w:pPr>
        <w:numPr>
          <w:ilvl w:val="0"/>
          <w:numId w:val="3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Quels sont les apports de ces nouvelles techniques en santé ?</w:t>
      </w:r>
    </w:p>
    <w:p w:rsidR="00C63D12" w:rsidRPr="00AE4FE6" w:rsidRDefault="00C63D12" w:rsidP="00C63D12">
      <w:pPr>
        <w:numPr>
          <w:ilvl w:val="0"/>
          <w:numId w:val="3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Les usagers disposent-ils d’informations validées, pertinentes et intelligibles sur la nature et les applications des nouvelles technologies en santé ?</w:t>
      </w:r>
    </w:p>
    <w:p w:rsidR="00C63D12" w:rsidRPr="00AE4FE6" w:rsidRDefault="00C63D12" w:rsidP="00C63D12">
      <w:pPr>
        <w:numPr>
          <w:ilvl w:val="0"/>
          <w:numId w:val="3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Quel est leur impact  sur la relation de soin ?</w:t>
      </w:r>
    </w:p>
    <w:p w:rsidR="00C63D12" w:rsidRPr="00AE4FE6" w:rsidRDefault="00C63D12" w:rsidP="00C63D12">
      <w:pPr>
        <w:numPr>
          <w:ilvl w:val="0"/>
          <w:numId w:val="3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L’accès aux nouvelles technologies est-il assuré pour des populations précaires et vulnérables et répond-il aux principes de justice et d’équité ? </w:t>
      </w:r>
    </w:p>
    <w:p w:rsidR="00C63D12" w:rsidRPr="00AE4FE6" w:rsidRDefault="00C63D12" w:rsidP="00C63D12">
      <w:pPr>
        <w:numPr>
          <w:ilvl w:val="0"/>
          <w:numId w:val="3"/>
        </w:numPr>
        <w:spacing w:after="160" w:line="259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La confidentialité</w:t>
      </w: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 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est-elle assurée</w:t>
      </w: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 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face au recueil, au partage et à l’utilisation des données ?</w:t>
      </w: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 </w:t>
      </w:r>
    </w:p>
    <w:p w:rsidR="00C63D12" w:rsidRDefault="00C63D12" w:rsidP="00C63D12">
      <w:pPr>
        <w:numPr>
          <w:ilvl w:val="0"/>
          <w:numId w:val="3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Connait-on l’impact des nouvelles technologies en santé publique ? L’exploitation des </w:t>
      </w:r>
      <w:proofErr w:type="spellStart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big</w:t>
      </w:r>
      <w:proofErr w:type="spellEnd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data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dans une logique financière  risque-t-elle d’interférer avec  les choix nationaux en santé ?</w:t>
      </w:r>
    </w:p>
    <w:p w:rsidR="00C63D12" w:rsidRDefault="00C63D12" w:rsidP="00C63D12">
      <w:p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lastRenderedPageBreak/>
        <w:t>Rappel de la méthode et du public</w:t>
      </w:r>
    </w:p>
    <w:p w:rsidR="00C63D12" w:rsidRPr="00AE4FE6" w:rsidRDefault="00C63D12" w:rsidP="00C63D12">
      <w:pPr>
        <w:spacing w:after="160" w:line="259" w:lineRule="auto"/>
        <w:ind w:left="720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  <w:t>Comité de pilotage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pluridisciplinaire pour l’organisation des actions et la préparation de leur déroulement, du contenu des interventions  et de la documentation à fournir aux participants</w:t>
      </w:r>
    </w:p>
    <w:p w:rsidR="00C63D12" w:rsidRPr="00AE4FE6" w:rsidRDefault="00C63D12" w:rsidP="00C63D1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  <w:t>8 ateliers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 répartis sur la région, de 1h30 par thème, réunissant 20 à 30 participants de tous âges avec animation par une journaliste</w:t>
      </w:r>
    </w:p>
    <w:p w:rsidR="00C63D12" w:rsidRPr="00AE4FE6" w:rsidRDefault="00C63D12" w:rsidP="00C63D12">
      <w:pPr>
        <w:numPr>
          <w:ilvl w:val="0"/>
          <w:numId w:val="4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  <w:t>5 rencontres citoyennes animées par un journaliste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: 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Montpellier sur le thème de la prédiction génétique (150 personnes)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Nîmes sur le thème de la prédiction génétique (150 personnes)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Toulouse un débat public (220 personnes) autour des questions et propositions issues des ateliers.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Montpellier sur la télémédecine et l’intelligence artificielle en santé (75 personnes)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Mende sur la prédiction génétique (100 personnes)</w:t>
      </w:r>
    </w:p>
    <w:p w:rsidR="00C63D12" w:rsidRPr="00AE4FE6" w:rsidRDefault="00C63D12" w:rsidP="00C63D12">
      <w:pPr>
        <w:spacing w:after="160" w:line="259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>Problématiques débattues et arguments </w:t>
      </w: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                             </w:t>
      </w:r>
      <w:r w:rsidRPr="00AE4FE6">
        <w:rPr>
          <w:rFonts w:ascii="Gadugi" w:eastAsia="Calibri" w:hAnsi="Gadugi"/>
          <w:i/>
          <w:noProof/>
          <w:color w:val="404040" w:themeColor="text1" w:themeTint="BF"/>
          <w:sz w:val="22"/>
          <w:szCs w:val="22"/>
        </w:rPr>
        <w:drawing>
          <wp:inline distT="0" distB="0" distL="0" distR="0" wp14:anchorId="7A87037A" wp14:editId="289D5868">
            <wp:extent cx="255905" cy="231775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5" cy="234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</w:t>
      </w:r>
      <w:proofErr w:type="gramStart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opinions</w:t>
      </w:r>
      <w:proofErr w:type="gramEnd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positives très majoritaires </w:t>
      </w: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                             </w:t>
      </w:r>
      <w:r w:rsidRPr="00AE4FE6">
        <w:rPr>
          <w:rFonts w:ascii="Gadugi" w:eastAsia="Calibri" w:hAnsi="Gadugi"/>
          <w:i/>
          <w:noProof/>
          <w:color w:val="404040" w:themeColor="text1" w:themeTint="BF"/>
          <w:sz w:val="22"/>
          <w:szCs w:val="22"/>
        </w:rPr>
        <w:drawing>
          <wp:inline distT="0" distB="0" distL="0" distR="0" wp14:anchorId="5FC32F78" wp14:editId="5E0105F4">
            <wp:extent cx="250190" cy="262255"/>
            <wp:effectExtent l="0" t="0" r="0" b="444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</w:t>
      </w:r>
      <w:proofErr w:type="gramStart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opinions</w:t>
      </w:r>
      <w:proofErr w:type="gramEnd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négatives très majoritaires  </w:t>
      </w: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 </w:t>
      </w: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                             </w:t>
      </w:r>
      <w:r w:rsidRPr="00AE4FE6">
        <w:rPr>
          <w:rFonts w:ascii="Gadugi" w:eastAsia="Calibri" w:hAnsi="Gadugi"/>
          <w:b/>
          <w:noProof/>
          <w:color w:val="404040" w:themeColor="text1" w:themeTint="BF"/>
          <w:sz w:val="22"/>
          <w:szCs w:val="22"/>
        </w:rPr>
        <w:drawing>
          <wp:inline distT="0" distB="0" distL="0" distR="0" wp14:anchorId="1E54F7F3" wp14:editId="3CB8EDA9">
            <wp:extent cx="255905" cy="267970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</w:t>
      </w:r>
      <w:proofErr w:type="gramStart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opinions</w:t>
      </w:r>
      <w:proofErr w:type="gramEnd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mitigées ou non majoritaires</w:t>
      </w: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b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     </w:t>
      </w:r>
      <w:r w:rsidRPr="00AE4FE6">
        <w:rPr>
          <w:rFonts w:ascii="Gadugi" w:eastAsia="Calibri" w:hAnsi="Gadugi"/>
          <w:b/>
          <w:noProof/>
          <w:color w:val="404040" w:themeColor="text1" w:themeTint="BF"/>
          <w:sz w:val="22"/>
          <w:szCs w:val="22"/>
        </w:rPr>
        <w:drawing>
          <wp:inline distT="0" distB="0" distL="0" distR="0" wp14:anchorId="5C5DA336" wp14:editId="0F4B4695">
            <wp:extent cx="254000" cy="228600"/>
            <wp:effectExtent l="0" t="0" r="0" b="0"/>
            <wp:docPr id="4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1" cy="22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/>
          <w:bCs/>
          <w:color w:val="404040" w:themeColor="text1" w:themeTint="BF"/>
          <w:sz w:val="22"/>
          <w:szCs w:val="22"/>
          <w:lang w:eastAsia="en-US"/>
        </w:rPr>
        <w:t xml:space="preserve">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L’IA est utile aux malades pour  suppléer  des  déficits et handicaps</w:t>
      </w:r>
      <w:r w:rsidRPr="00AE4FE6">
        <w:rPr>
          <w:rFonts w:ascii="Gadugi" w:eastAsia="Calibri" w:hAnsi="Gadugi"/>
          <w:b/>
          <w:bCs/>
          <w:color w:val="404040" w:themeColor="text1" w:themeTint="BF"/>
          <w:sz w:val="22"/>
          <w:szCs w:val="22"/>
          <w:lang w:eastAsia="en-US"/>
        </w:rPr>
        <w:t xml:space="preserve">          </w:t>
      </w: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bCs/>
          <w:color w:val="404040" w:themeColor="text1" w:themeTint="BF"/>
          <w:sz w:val="22"/>
          <w:szCs w:val="22"/>
          <w:lang w:eastAsia="en-US"/>
        </w:rPr>
        <w:t xml:space="preserve">             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(</w:t>
      </w:r>
      <w:proofErr w:type="gramStart"/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ex</w:t>
      </w:r>
      <w:proofErr w:type="gramEnd"/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: déficits auditifs et visuels, prothèses  de membres) </w:t>
      </w:r>
    </w:p>
    <w:p w:rsidR="00C63D12" w:rsidRPr="00AE4FE6" w:rsidRDefault="00C63D12" w:rsidP="00C63D12">
      <w:pPr>
        <w:spacing w:line="259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</w:t>
      </w:r>
      <w:r w:rsidRPr="00AE4FE6">
        <w:rPr>
          <w:rFonts w:ascii="Gadugi" w:eastAsia="Calibri" w:hAnsi="Gadugi"/>
          <w:bCs/>
          <w:noProof/>
          <w:color w:val="404040" w:themeColor="text1" w:themeTint="BF"/>
          <w:sz w:val="22"/>
          <w:szCs w:val="22"/>
        </w:rPr>
        <w:drawing>
          <wp:inline distT="0" distB="0" distL="0" distR="0" wp14:anchorId="5C855F65" wp14:editId="03A99BB5">
            <wp:extent cx="255905" cy="231775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L’IA peut améliorer la qualité de gestes techniques (ex: robots)</w:t>
      </w:r>
    </w:p>
    <w:p w:rsidR="00C63D12" w:rsidRDefault="00C63D12" w:rsidP="00C63D12">
      <w:pPr>
        <w:spacing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1EF49D8C" wp14:editId="294CC580">
            <wp:extent cx="266700" cy="226695"/>
            <wp:effectExtent l="0" t="0" r="0" b="1905"/>
            <wp:docPr id="5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5" cy="22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L’IA peut être une aide au diagnostic pour les professionnels (ex</w:t>
      </w:r>
      <w:r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 :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intégration</w:t>
      </w:r>
      <w:r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d’innombrables  données en situation complexe ou maladie rare)</w:t>
      </w:r>
    </w:p>
    <w:p w:rsidR="00C63D12" w:rsidRPr="00AE4FE6" w:rsidRDefault="00C63D12" w:rsidP="00C63D12">
      <w:pPr>
        <w:spacing w:line="276" w:lineRule="auto"/>
        <w:ind w:left="851" w:hanging="709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color w:val="404040" w:themeColor="text1" w:themeTint="BF"/>
          <w:kern w:val="24"/>
          <w:sz w:val="22"/>
          <w:szCs w:val="22"/>
        </w:rPr>
        <w:t xml:space="preserve">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47912ABC" wp14:editId="2721369B">
            <wp:extent cx="276225" cy="234794"/>
            <wp:effectExtent l="0" t="0" r="0" b="0"/>
            <wp:docPr id="5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8" cy="24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L’IA peut décharger les professionnels  de tâches techniques répétitives</w:t>
      </w:r>
      <w:r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et leur permettre de se recentrer sur des activités humaines relationnelles   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57B00927" wp14:editId="175BF61C">
            <wp:extent cx="276225" cy="234792"/>
            <wp:effectExtent l="0" t="0" r="0" b="0"/>
            <wp:docPr id="5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2" cy="24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L’IA peut corriger  les « déserts médicaux » 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           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3B9700C2" wp14:editId="2B04DC35">
            <wp:extent cx="190500" cy="161925"/>
            <wp:effectExtent l="0" t="0" r="0" b="9525"/>
            <wp:docPr id="54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</w:t>
      </w:r>
      <w:proofErr w:type="gramStart"/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et</w:t>
      </w:r>
      <w:proofErr w:type="gramEnd"/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améliorer l’équité  d’accès aux soins grâce à la télémédecine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                </w:t>
      </w:r>
      <w:r w:rsidRPr="00AE4FE6">
        <w:rPr>
          <w:rFonts w:ascii="Gadugi" w:eastAsia="Times New Roman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0775F6FC" wp14:editId="5390C5BD">
            <wp:extent cx="180975" cy="190500"/>
            <wp:effectExtent l="0" t="0" r="9525" b="0"/>
            <wp:docPr id="55" name="Espace réservé du contenu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e réservé du contenu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" t="10480" r="77827" b="4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</w:t>
      </w:r>
      <w:proofErr w:type="gramStart"/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mais</w:t>
      </w:r>
      <w:proofErr w:type="gramEnd"/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risque d’effacer la relation humaine dans le soin</w:t>
      </w:r>
    </w:p>
    <w:p w:rsidR="00C63D12" w:rsidRPr="00AE4FE6" w:rsidRDefault="00C63D12" w:rsidP="00C63D12">
      <w:pPr>
        <w:spacing w:line="276" w:lineRule="auto"/>
        <w:ind w:left="993" w:hanging="993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0D2EDAE5" wp14:editId="59902B6D">
            <wp:extent cx="255776" cy="26924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1" t="10481" r="39368" b="4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8" cy="2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L’IA risque de déresponsabiliser des professionnels trop confiants dans les machines</w:t>
      </w:r>
    </w:p>
    <w:p w:rsidR="00C63D12" w:rsidRPr="00AE4FE6" w:rsidRDefault="00C63D12" w:rsidP="00C63D12">
      <w:pPr>
        <w:spacing w:line="276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  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23BEAC8A" wp14:editId="64EDE686">
            <wp:extent cx="228600" cy="240632"/>
            <wp:effectExtent l="0" t="0" r="0" b="7620"/>
            <wp:docPr id="5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2" cy="24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L’IA peut nuire à l’emploi   </w:t>
      </w:r>
    </w:p>
    <w:p w:rsidR="00C63D12" w:rsidRPr="00AE4FE6" w:rsidRDefault="00C63D12" w:rsidP="00C63D12">
      <w:pPr>
        <w:spacing w:line="276" w:lineRule="auto"/>
        <w:ind w:left="993" w:hanging="993"/>
        <w:contextualSpacing/>
        <w:jc w:val="both"/>
        <w:rPr>
          <w:rFonts w:ascii="Gadugi" w:eastAsia="Times New Roman" w:hAnsi="Gadugi"/>
          <w:bCs/>
          <w:color w:val="404040" w:themeColor="text1" w:themeTint="BF"/>
          <w:kern w:val="24"/>
          <w:sz w:val="22"/>
          <w:szCs w:val="22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 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5752F159" wp14:editId="2401B7C7">
            <wp:extent cx="228600" cy="240632"/>
            <wp:effectExtent l="0" t="0" r="0" b="7620"/>
            <wp:docPr id="5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890" cy="25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L’IA risque d’être développée dans un but lucratif (exploitation abusive des données) 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5FE1C84B" wp14:editId="73CDBEEF">
            <wp:extent cx="235268" cy="247650"/>
            <wp:effectExtent l="0" t="0" r="0" b="0"/>
            <wp:docPr id="5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2" cy="2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L’IA peut dépasser l’humain, le rendant dépendant,  et lui faire perdre la maîtrise   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lastRenderedPageBreak/>
        <w:t xml:space="preserve">      </w:t>
      </w:r>
      <w:r w:rsidRPr="00AE4FE6">
        <w:rPr>
          <w:rFonts w:ascii="Gadugi" w:eastAsia="Calibri" w:hAnsi="Gadugi"/>
          <w:bCs/>
          <w:noProof/>
          <w:color w:val="404040" w:themeColor="text1" w:themeTint="BF"/>
          <w:sz w:val="22"/>
          <w:szCs w:val="22"/>
        </w:rPr>
        <w:drawing>
          <wp:inline distT="0" distB="0" distL="0" distR="0" wp14:anchorId="4B4FFF5E" wp14:editId="570486A0">
            <wp:extent cx="247650" cy="260684"/>
            <wp:effectExtent l="0" t="0" r="0" b="6350"/>
            <wp:docPr id="60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3" cy="26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L’IA risque de réduire les liens sociaux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 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7E711115" wp14:editId="52A94A5D">
            <wp:extent cx="295089" cy="250825"/>
            <wp:effectExtent l="0" t="0" r="0" b="0"/>
            <wp:docPr id="61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2" cy="25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L’utilisation des données de masse (</w:t>
      </w:r>
      <w:proofErr w:type="spellStart"/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big</w:t>
      </w:r>
      <w:proofErr w:type="spellEnd"/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data) peut aider en santé                     publique  mais …..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ab/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07C9D936" wp14:editId="659EAEA1">
            <wp:extent cx="257175" cy="270711"/>
            <wp:effectExtent l="0" t="0" r="0" b="0"/>
            <wp:docPr id="62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503" cy="2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L’exploitation de nos données personnelles contre nos intérêts est redoutée (ex</w:t>
      </w:r>
      <w:r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: assureurs, employeurs…)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36D63682" wp14:editId="52F5E368">
            <wp:extent cx="262414" cy="276225"/>
            <wp:effectExtent l="0" t="0" r="4445" b="0"/>
            <wp:docPr id="63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9" cy="27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L’IA  risque de favoriser une intrusion dans la vie privée</w:t>
      </w:r>
    </w:p>
    <w:p w:rsidR="00C63D12" w:rsidRPr="00AE4FE6" w:rsidRDefault="00C63D12" w:rsidP="00C63D12">
      <w:pPr>
        <w:spacing w:after="200" w:line="276" w:lineRule="auto"/>
        <w:contextualSpacing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34967F13" wp14:editId="0C95C88F">
            <wp:extent cx="271463" cy="285750"/>
            <wp:effectExtent l="0" t="0" r="0" b="0"/>
            <wp:docPr id="64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9" cy="28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La confidentialité et le secret médical sont menacés par l’IA</w:t>
      </w:r>
    </w:p>
    <w:p w:rsidR="00C63D12" w:rsidRPr="00AE4FE6" w:rsidRDefault="00C63D12" w:rsidP="00C63D12">
      <w:pPr>
        <w:spacing w:after="160" w:line="259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>Propositions de loi ou recommandations :</w:t>
      </w:r>
    </w:p>
    <w:p w:rsidR="00C63D12" w:rsidRPr="00AE4FE6" w:rsidRDefault="00C63D12" w:rsidP="00C63D12">
      <w:pPr>
        <w:spacing w:line="276" w:lineRule="auto"/>
        <w:ind w:left="720" w:hanging="1004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     </w:t>
      </w:r>
      <w:r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   (E</w:t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ntre parenthèse</w:t>
      </w:r>
      <w:r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s</w:t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figurent les références éthiques)</w:t>
      </w:r>
    </w:p>
    <w:p w:rsidR="00C63D12" w:rsidRPr="00AE4FE6" w:rsidRDefault="00C63D12" w:rsidP="00C63D12">
      <w:pPr>
        <w:spacing w:line="276" w:lineRule="auto"/>
        <w:ind w:left="720" w:hanging="1004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                  </w:t>
      </w:r>
    </w:p>
    <w:p w:rsidR="00C63D12" w:rsidRPr="009C3472" w:rsidRDefault="00C63D12" w:rsidP="00C63D12">
      <w:pPr>
        <w:pStyle w:val="Paragraphedeliste"/>
        <w:numPr>
          <w:ilvl w:val="0"/>
          <w:numId w:val="11"/>
        </w:numPr>
        <w:spacing w:after="240"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Renforcer les règlements nationaux (CNIL) et européens (RGPD) pour contenir les pouvoirs extérieurs créés par la  mondialisation au profit des GAFAM </w:t>
      </w:r>
      <w:r w:rsidRPr="00997647"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  <w:t>(solidarité, équité)</w:t>
      </w:r>
    </w:p>
    <w:p w:rsidR="00C63D12" w:rsidRPr="00997647" w:rsidRDefault="00C63D12" w:rsidP="00C63D12">
      <w:pPr>
        <w:pStyle w:val="Paragraphedeliste"/>
        <w:spacing w:after="240"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Pr="009C347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Garantir la validité et l’objectivité des sites web de santé et l’accès à une information de qualité aux citoyens dès le plus jeune âge </w:t>
      </w:r>
      <w:r w:rsidRPr="00997647"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  <w:t>(autonomie, liberté)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Pr="009C347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Garantir la protection des </w:t>
      </w: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u w:val="single"/>
          <w:lang w:eastAsia="en-US"/>
        </w:rPr>
        <w:t>données personnelles de santé</w:t>
      </w: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au plus haut niveau d’exigence  </w:t>
      </w:r>
      <w:r w:rsidRPr="00997647"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  <w:t>(autonomie – bienfaisance)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Pr="009C347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Garantir la liberté de choix individuel </w:t>
      </w:r>
      <w:r w:rsidRPr="00997647"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  <w:t>(liberté)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Assurer l’égalité d’accès aux soins </w:t>
      </w:r>
      <w:r w:rsidRPr="00997647"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  <w:t>(équité- solidarité)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Veiller à l’adaptation des outils numériques aux personnes précaires et/ou âgées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Adapter la formation des professionnels de santé aux technologies numériques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« Certifier » et  contrôler régulièrement les logiciels et robots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Définir les responsabilités et ne pas en attribuer aux robots qui doivent rester des outils d’aide à la décision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Pr="009C347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</w:pPr>
      <w:r w:rsidRPr="009C3472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Préciser les responsabilités de chaque intervenant dans la chaîne de soin autour  d’un « patient connecté »</w:t>
      </w:r>
    </w:p>
    <w:p w:rsidR="00C63D12" w:rsidRPr="009C3472" w:rsidRDefault="00C63D12" w:rsidP="00C63D12">
      <w:pPr>
        <w:pStyle w:val="Paragraphedeliste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</w:p>
    <w:p w:rsidR="00C63D12" w:rsidRPr="009C3472" w:rsidRDefault="00C63D12" w:rsidP="00C63D12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</w:pPr>
      <w:r w:rsidRPr="009C3472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Garantir la prééminence de l’humain  </w:t>
      </w:r>
      <w:r w:rsidRPr="009C3472">
        <w:rPr>
          <w:rFonts w:ascii="Gadugi" w:eastAsia="Calibri" w:hAnsi="Gadugi"/>
          <w:bCs/>
          <w:i/>
          <w:color w:val="404040" w:themeColor="text1" w:themeTint="BF"/>
          <w:sz w:val="22"/>
          <w:szCs w:val="22"/>
          <w:lang w:eastAsia="en-US"/>
        </w:rPr>
        <w:t>(responsabilité)</w:t>
      </w:r>
    </w:p>
    <w:p w:rsidR="00C63D12" w:rsidRPr="00AE4FE6" w:rsidRDefault="00C63D12" w:rsidP="00C63D1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lastRenderedPageBreak/>
        <w:t>Commentaires des organisateurs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</w:t>
      </w:r>
    </w:p>
    <w:p w:rsidR="00C63D12" w:rsidRPr="00AE4FE6" w:rsidRDefault="00C63D12" w:rsidP="00C63D12">
      <w:pPr>
        <w:spacing w:line="259" w:lineRule="auto"/>
        <w:ind w:left="720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           </w:t>
      </w:r>
    </w:p>
    <w:p w:rsidR="00C63D12" w:rsidRPr="00CF215A" w:rsidRDefault="00C63D12" w:rsidP="00C63D12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3F74E0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Cette synthèse exprime les positions très homogènes et convergentes  relevées au cours des différentes  rencontres en dépit des lieux et des  différences de classes d’âge.</w:t>
      </w:r>
    </w:p>
    <w:p w:rsidR="00C63D12" w:rsidRPr="009C3472" w:rsidRDefault="00C63D12" w:rsidP="00C63D12">
      <w:pPr>
        <w:pStyle w:val="Paragraphedeliste"/>
        <w:spacing w:after="160" w:line="259" w:lineRule="auto"/>
        <w:ind w:left="1245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</w:t>
      </w:r>
    </w:p>
    <w:p w:rsidR="00C63D12" w:rsidRPr="003F74E0" w:rsidRDefault="00C63D12" w:rsidP="00C63D12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3F74E0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>Les innovations technologiques dérivées de l’IA et du numérique sont  acceptées sous deux conditions :</w:t>
      </w:r>
    </w:p>
    <w:p w:rsidR="00C63D12" w:rsidRDefault="00C63D12" w:rsidP="00C63D12">
      <w:pPr>
        <w:pStyle w:val="Paragraphedeliste"/>
        <w:numPr>
          <w:ilvl w:val="1"/>
          <w:numId w:val="6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3F74E0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Le maintien sous contrôle « humain » </w:t>
      </w:r>
    </w:p>
    <w:p w:rsidR="00C63D12" w:rsidRDefault="00C63D12" w:rsidP="00C63D12">
      <w:pPr>
        <w:pStyle w:val="Paragraphedeliste"/>
        <w:numPr>
          <w:ilvl w:val="1"/>
          <w:numId w:val="6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3F74E0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La protection rigoureuse des données personnelles de santé</w:t>
      </w:r>
    </w:p>
    <w:p w:rsidR="00C63D12" w:rsidRPr="003F74E0" w:rsidRDefault="00C63D12" w:rsidP="00C63D12">
      <w:pPr>
        <w:pStyle w:val="Paragraphedeliste"/>
        <w:spacing w:after="160" w:line="259" w:lineRule="auto"/>
        <w:ind w:left="1965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Pr="00997647" w:rsidRDefault="00C63D12" w:rsidP="00C63D1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997647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Toutefois des réflexions pertinentes mais moins unanimes sont à prendre en compte comme  l’impact sur le travail et le lien social.</w:t>
      </w:r>
    </w:p>
    <w:p w:rsidR="00C63D12" w:rsidRPr="00AE4FE6" w:rsidRDefault="00C63D12" w:rsidP="00C63D12">
      <w:pPr>
        <w:spacing w:line="259" w:lineRule="auto"/>
        <w:ind w:left="1245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La démarche de consultation des citoyens s’est révélée pertinente et a été très appréciée.</w:t>
      </w:r>
    </w:p>
    <w:p w:rsidR="00C63D12" w:rsidRDefault="00C63D12" w:rsidP="00C63D12">
      <w:pPr>
        <w:pStyle w:val="Paragraphedeliste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9" w:lineRule="auto"/>
        <w:ind w:left="1245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Un écho à ce constat est apporté par l’expérience originale d’un professeur des écoles auprès de ses élèves de CE2 et CM1 en ZEP à Auch : cette enseignante a présenté, au cours d’un de nos ateliers, un résumé des réflexions de ses élèves sur l’IA et les robots : </w:t>
      </w:r>
    </w:p>
    <w:p w:rsidR="00C63D12" w:rsidRDefault="00C63D12" w:rsidP="00C63D12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« Les robots ont été créés et programmés par les hommes</w:t>
      </w:r>
    </w:p>
    <w:p w:rsidR="00C63D12" w:rsidRDefault="00C63D12" w:rsidP="00C63D12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Ils n’ont pas de cœur mais sont plus intelligents que les humains</w:t>
      </w:r>
    </w:p>
    <w:p w:rsidR="00C63D12" w:rsidRDefault="00C63D12" w:rsidP="00C63D12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En santé, ils peuvent donner des soins plus efficaces et plus rapides </w:t>
      </w:r>
    </w:p>
    <w:p w:rsidR="00C63D12" w:rsidRDefault="00C63D12" w:rsidP="00C63D12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L’accent a été mis sur les risques de déprogrammation, de malveillance dans la programmation et de remplacement de l’homme et l’humanité.</w:t>
      </w:r>
    </w:p>
    <w:p w:rsidR="00C63D12" w:rsidRDefault="00C63D12" w:rsidP="00C63D12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Ainsi que la nécessité : </w:t>
      </w:r>
    </w:p>
    <w:p w:rsidR="00C63D12" w:rsidRDefault="00C63D12" w:rsidP="00C63D12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de fabriquer des programmes d’IA qui protègent des risques</w:t>
      </w:r>
    </w:p>
    <w:p w:rsidR="00C63D12" w:rsidRPr="003F74E0" w:rsidRDefault="00C63D12" w:rsidP="00C63D12">
      <w:pPr>
        <w:pStyle w:val="Paragraphedeliste"/>
        <w:numPr>
          <w:ilvl w:val="1"/>
          <w:numId w:val="12"/>
        </w:numPr>
        <w:spacing w:after="160"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d’encadrer, réglementer… »</w:t>
      </w:r>
    </w:p>
    <w:p w:rsidR="00C63D12" w:rsidRPr="00AE4FE6" w:rsidRDefault="00C63D12" w:rsidP="00C63D12">
      <w:pPr>
        <w:spacing w:after="160" w:line="259" w:lineRule="auto"/>
        <w:ind w:left="1245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noProof/>
          <w:color w:val="404040" w:themeColor="text1" w:themeTint="BF"/>
          <w:sz w:val="22"/>
          <w:szCs w:val="22"/>
        </w:rPr>
        <w:lastRenderedPageBreak/>
        <w:drawing>
          <wp:inline distT="0" distB="0" distL="0" distR="0" wp14:anchorId="092C8C3D" wp14:editId="0D0CBAE8">
            <wp:extent cx="1762699" cy="1631641"/>
            <wp:effectExtent l="0" t="0" r="9525" b="6985"/>
            <wp:docPr id="13" name="Image 13" descr="C:\Users\EREMIP\Desktop\ERER OCCITANIE\LOGOS\Logo petit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EMIP\Desktop\ERER OCCITANIE\LOGOS\Logo petit forma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17" cy="16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FE6">
        <w:rPr>
          <w:rFonts w:ascii="Gadugi" w:eastAsia="Calibri" w:hAnsi="Gadugi"/>
          <w:b/>
          <w:noProof/>
          <w:color w:val="404040" w:themeColor="text1" w:themeTint="BF"/>
          <w:sz w:val="22"/>
          <w:szCs w:val="22"/>
        </w:rPr>
        <w:drawing>
          <wp:inline distT="0" distB="0" distL="0" distR="0" wp14:anchorId="3C6B1958" wp14:editId="73B80E3F">
            <wp:extent cx="3690651" cy="1605946"/>
            <wp:effectExtent l="0" t="0" r="508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51" cy="1612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D12" w:rsidRPr="00AE4FE6" w:rsidRDefault="00C63D12" w:rsidP="00C63D12">
      <w:pPr>
        <w:spacing w:after="160" w:line="256" w:lineRule="auto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D4719E" w:rsidRDefault="00C63D12" w:rsidP="00C63D12">
      <w:pPr>
        <w:jc w:val="center"/>
        <w:rPr>
          <w:rFonts w:ascii="Gadugi" w:eastAsia="Calibri" w:hAnsi="Gadugi"/>
          <w:b/>
          <w:color w:val="404040" w:themeColor="text1" w:themeTint="BF"/>
          <w:sz w:val="32"/>
          <w:szCs w:val="32"/>
          <w:lang w:eastAsia="en-US"/>
        </w:rPr>
      </w:pPr>
      <w:r w:rsidRPr="00D4719E">
        <w:rPr>
          <w:rFonts w:ascii="Gadugi" w:eastAsia="Calibri" w:hAnsi="Gadugi"/>
          <w:b/>
          <w:color w:val="404040" w:themeColor="text1" w:themeTint="BF"/>
          <w:sz w:val="32"/>
          <w:szCs w:val="32"/>
          <w:lang w:eastAsia="en-US"/>
        </w:rPr>
        <w:t>Etats généraux de la bioéthique</w:t>
      </w:r>
    </w:p>
    <w:p w:rsidR="00C63D12" w:rsidRPr="00D4719E" w:rsidRDefault="00C63D12" w:rsidP="00C63D12">
      <w:pPr>
        <w:jc w:val="center"/>
        <w:rPr>
          <w:rFonts w:ascii="Gadugi" w:eastAsia="Calibri" w:hAnsi="Gadugi"/>
          <w:b/>
          <w:color w:val="404040" w:themeColor="text1" w:themeTint="BF"/>
          <w:sz w:val="32"/>
          <w:szCs w:val="32"/>
          <w:lang w:eastAsia="en-US"/>
        </w:rPr>
      </w:pPr>
      <w:r w:rsidRPr="00D4719E">
        <w:rPr>
          <w:rFonts w:ascii="Gadugi" w:eastAsia="Calibri" w:hAnsi="Gadugi"/>
          <w:b/>
          <w:color w:val="404040" w:themeColor="text1" w:themeTint="BF"/>
          <w:sz w:val="32"/>
          <w:szCs w:val="32"/>
          <w:lang w:eastAsia="en-US"/>
        </w:rPr>
        <w:t>Rapport de synthèse ERE Occitanie</w:t>
      </w:r>
    </w:p>
    <w:p w:rsidR="00C63D12" w:rsidRPr="00D4719E" w:rsidRDefault="00C63D12" w:rsidP="00C63D12">
      <w:pPr>
        <w:spacing w:after="160" w:line="256" w:lineRule="auto"/>
        <w:jc w:val="center"/>
        <w:rPr>
          <w:rFonts w:ascii="Gadugi" w:eastAsia="Calibri" w:hAnsi="Gadugi"/>
          <w:b/>
          <w:color w:val="404040" w:themeColor="text1" w:themeTint="BF"/>
          <w:sz w:val="26"/>
          <w:szCs w:val="26"/>
          <w:lang w:eastAsia="en-US"/>
        </w:rPr>
      </w:pPr>
    </w:p>
    <w:p w:rsidR="00C63D12" w:rsidRPr="00D4719E" w:rsidRDefault="00C63D12" w:rsidP="00C63D12">
      <w:pPr>
        <w:spacing w:line="256" w:lineRule="auto"/>
        <w:jc w:val="center"/>
        <w:rPr>
          <w:rFonts w:ascii="Gadugi" w:eastAsia="Calibri" w:hAnsi="Gadugi"/>
          <w:b/>
          <w:i/>
          <w:color w:val="404040" w:themeColor="text1" w:themeTint="BF"/>
          <w:sz w:val="26"/>
          <w:szCs w:val="26"/>
          <w:lang w:eastAsia="en-US"/>
        </w:rPr>
      </w:pPr>
      <w:r w:rsidRPr="00D4719E">
        <w:rPr>
          <w:rFonts w:ascii="Gadugi" w:eastAsia="Calibri" w:hAnsi="Gadugi"/>
          <w:b/>
          <w:i/>
          <w:color w:val="404040" w:themeColor="text1" w:themeTint="BF"/>
          <w:sz w:val="26"/>
          <w:szCs w:val="26"/>
          <w:lang w:eastAsia="en-US"/>
        </w:rPr>
        <w:t>Thème 2 : « Génétique et médecine prédictive »</w:t>
      </w:r>
    </w:p>
    <w:p w:rsidR="00C63D12" w:rsidRPr="00D4719E" w:rsidRDefault="00C63D12" w:rsidP="00C63D12">
      <w:pPr>
        <w:spacing w:after="160" w:line="256" w:lineRule="auto"/>
        <w:jc w:val="center"/>
        <w:rPr>
          <w:rFonts w:ascii="Gadugi" w:eastAsia="Calibri" w:hAnsi="Gadugi"/>
          <w:b/>
          <w:i/>
          <w:color w:val="404040" w:themeColor="text1" w:themeTint="BF"/>
          <w:sz w:val="26"/>
          <w:szCs w:val="26"/>
          <w:lang w:eastAsia="en-US"/>
        </w:rPr>
      </w:pPr>
    </w:p>
    <w:p w:rsidR="00C63D12" w:rsidRPr="00AE4FE6" w:rsidRDefault="00C63D12" w:rsidP="00C63D12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>Intro</w:t>
      </w:r>
      <w:r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>duction</w:t>
      </w: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 sur le thème </w:t>
      </w:r>
    </w:p>
    <w:p w:rsidR="00C63D12" w:rsidRPr="00AE4FE6" w:rsidRDefault="00C63D12" w:rsidP="00C63D12">
      <w:pPr>
        <w:spacing w:after="160" w:line="256" w:lineRule="auto"/>
        <w:ind w:left="720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Le développement des capacités d’analyse individuelle du génome soulève, en-dehors des aspects technologiques et économiques, de nombreuses questions éthiques relatives à l’éducation de la population à cette approche et à la formation des professionnels de santé à l’annonce, à l’accompagnement et à la prévention des effets potentiellement pervers de la médecine prédictive.</w:t>
      </w:r>
    </w:p>
    <w:p w:rsidR="00C63D12" w:rsidRDefault="00C63D12" w:rsidP="00C63D12">
      <w:p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L’analyse du génome fournit des informations utiles à la médecine personnalisée permettant </w:t>
      </w: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de mieux cibler la prévention et les traitements.</w:t>
      </w:r>
    </w:p>
    <w:p w:rsidR="00C63D12" w:rsidRPr="00AE4FE6" w:rsidRDefault="00C63D12" w:rsidP="00C63D12">
      <w:p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Elle offre également aux couples la possibilité de prévenir le risque de pathologies sévères de l’embryon et de l’enfant par les tests pré-conceptionnels et prénataux. </w:t>
      </w:r>
    </w:p>
    <w:p w:rsidR="00C63D12" w:rsidRPr="00AE4FE6" w:rsidRDefault="00C63D12" w:rsidP="00C63D12">
      <w:p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Cependant, les résultats peuvent souvent inquiéter les patients souvent enclins à ne pas prendre en compte la relativité de la valeur prédictive de ces données, qui s’expriment en termes de probabilités.</w:t>
      </w:r>
    </w:p>
    <w:p w:rsidR="00C63D12" w:rsidRPr="00AE4FE6" w:rsidRDefault="00C63D12" w:rsidP="00C63D12">
      <w:p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Le questionnement éthique porte ici sur :</w:t>
      </w:r>
    </w:p>
    <w:p w:rsidR="00C63D12" w:rsidRPr="00AE4FE6" w:rsidRDefault="00C63D12" w:rsidP="00C63D12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le consentement éclairé des personnes soumises à ces analyses,</w:t>
      </w:r>
    </w:p>
    <w:p w:rsidR="00C63D12" w:rsidRPr="00AE4FE6" w:rsidRDefault="00C63D12" w:rsidP="00C63D12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la pertinence des demandes eu égard à leurs bénéfices et à leurs risques.</w:t>
      </w:r>
    </w:p>
    <w:p w:rsidR="00C63D12" w:rsidRPr="00AE4FE6" w:rsidRDefault="00C63D12" w:rsidP="00C63D12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une éducation préalable exigée par la transmission de telles informations.</w:t>
      </w:r>
    </w:p>
    <w:p w:rsidR="00C63D12" w:rsidRPr="00AE4FE6" w:rsidRDefault="00C63D12" w:rsidP="00C63D1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L’élargissement éventuel du nombre de maladies génétiques dépistées à la naissance </w:t>
      </w:r>
    </w:p>
    <w:p w:rsidR="00C63D12" w:rsidRPr="00AE4FE6" w:rsidRDefault="00C63D12" w:rsidP="00C63D1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L’intérêt des tests pré-conceptionnels demandés par des  couples sans antécédent familial de maladie génétique.</w:t>
      </w:r>
    </w:p>
    <w:p w:rsidR="00C63D12" w:rsidRPr="00AE4FE6" w:rsidRDefault="00C63D12" w:rsidP="00C63D1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La transmission au patient des données secondaires (anomalies inattendues, telle qu’une prédisposition à une autre maladie génétique) </w:t>
      </w:r>
    </w:p>
    <w:p w:rsidR="00C63D12" w:rsidRPr="00AE4FE6" w:rsidRDefault="00C63D12" w:rsidP="00C63D1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La propriété des données récoltées et l’usage à en faire après l’analyse initiale.</w:t>
      </w:r>
    </w:p>
    <w:p w:rsidR="00C63D12" w:rsidRPr="00AE4FE6" w:rsidRDefault="00C63D12" w:rsidP="00C63D12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lastRenderedPageBreak/>
        <w:t xml:space="preserve">Rappel </w:t>
      </w:r>
      <w:r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de la </w:t>
      </w: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méthode et </w:t>
      </w:r>
      <w:r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du </w:t>
      </w: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>public</w:t>
      </w:r>
    </w:p>
    <w:p w:rsidR="00C63D12" w:rsidRPr="00AE4FE6" w:rsidRDefault="00C63D12" w:rsidP="00C63D12">
      <w:pPr>
        <w:spacing w:after="160" w:line="256" w:lineRule="auto"/>
        <w:ind w:left="720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numPr>
          <w:ilvl w:val="0"/>
          <w:numId w:val="4"/>
        </w:numPr>
        <w:spacing w:before="240" w:after="160" w:line="256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  <w:t>Comité de pilotage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pluridisciplinaire pour l’organisation des actions et la préparation de leur déroulement, du contenu des interventions  et de la documentation à fournir aux participants.</w:t>
      </w:r>
    </w:p>
    <w:p w:rsidR="00C63D12" w:rsidRPr="00AE4FE6" w:rsidRDefault="00C63D12" w:rsidP="00C63D12">
      <w:pPr>
        <w:spacing w:before="240" w:after="160" w:line="256" w:lineRule="auto"/>
        <w:ind w:left="1440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</w:pPr>
    </w:p>
    <w:p w:rsidR="00C63D12" w:rsidRDefault="00C63D12" w:rsidP="00C63D12">
      <w:pPr>
        <w:numPr>
          <w:ilvl w:val="0"/>
          <w:numId w:val="4"/>
        </w:numPr>
        <w:spacing w:before="240" w:after="160" w:line="256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  <w:t>8 Ateliers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 répartis sur la région, de 1h30 par thème, réunissant 20 à 30 participants de tous âges avec animation par une journaliste</w:t>
      </w:r>
    </w:p>
    <w:p w:rsidR="00C63D12" w:rsidRDefault="00C63D12" w:rsidP="00C63D12">
      <w:pPr>
        <w:pStyle w:val="Paragraphedeliste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numPr>
          <w:ilvl w:val="0"/>
          <w:numId w:val="4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u w:val="single"/>
          <w:lang w:eastAsia="en-US"/>
        </w:rPr>
        <w:t>5 rencontres citoyennes animées par un journaliste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: 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Montpellier sur le thème de la prédiction génétique (150 personnes)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Nîmes sur le thème de la prédiction génétique (150 personnes)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Toulouse un débat public (220 personnes) autour des questions et propositions issues des ateliers.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Montpellier sur la télémédecine et l’intelligence artificielle en santé (75 personnes)</w:t>
      </w:r>
    </w:p>
    <w:p w:rsidR="00C63D12" w:rsidRPr="00AE4FE6" w:rsidRDefault="00C63D12" w:rsidP="00C63D12">
      <w:pPr>
        <w:numPr>
          <w:ilvl w:val="0"/>
          <w:numId w:val="7"/>
        </w:numPr>
        <w:spacing w:after="160" w:line="254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à Mende sur la prédiction génétique (100 personnes)</w:t>
      </w:r>
    </w:p>
    <w:p w:rsidR="00C63D12" w:rsidRPr="00AE4FE6" w:rsidRDefault="00C63D12" w:rsidP="00C63D12">
      <w:pPr>
        <w:spacing w:after="160" w:line="256" w:lineRule="auto"/>
        <w:ind w:left="720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Gadugi" w:eastAsia="Calibri" w:hAnsi="Gadugi"/>
          <w:b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>Problématiques débattues et arguments :</w:t>
      </w:r>
      <w:r w:rsidRPr="00AE4FE6">
        <w:rPr>
          <w:rFonts w:ascii="Gadugi" w:eastAsia="Calibri" w:hAnsi="Gadugi"/>
          <w:b/>
          <w:i/>
          <w:color w:val="404040" w:themeColor="text1" w:themeTint="BF"/>
          <w:sz w:val="22"/>
          <w:szCs w:val="22"/>
          <w:lang w:eastAsia="en-US"/>
        </w:rPr>
        <w:t xml:space="preserve">    </w:t>
      </w:r>
    </w:p>
    <w:p w:rsidR="00C63D12" w:rsidRPr="00AE4FE6" w:rsidRDefault="00C63D12" w:rsidP="00C63D12">
      <w:pPr>
        <w:spacing w:after="160" w:line="256" w:lineRule="auto"/>
        <w:ind w:left="720"/>
        <w:contextualSpacing/>
        <w:jc w:val="both"/>
        <w:rPr>
          <w:rFonts w:ascii="Gadugi" w:eastAsia="Calibri" w:hAnsi="Gadugi"/>
          <w:b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i/>
          <w:color w:val="404040" w:themeColor="text1" w:themeTint="BF"/>
          <w:sz w:val="22"/>
          <w:szCs w:val="22"/>
          <w:lang w:eastAsia="en-US"/>
        </w:rPr>
        <w:t xml:space="preserve">                            </w:t>
      </w:r>
    </w:p>
    <w:p w:rsidR="00C63D12" w:rsidRPr="00AE4FE6" w:rsidRDefault="00C63D12" w:rsidP="00C63D12">
      <w:pPr>
        <w:spacing w:after="160" w:line="256" w:lineRule="auto"/>
        <w:ind w:left="720"/>
        <w:contextualSpacing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i/>
          <w:color w:val="404040" w:themeColor="text1" w:themeTint="BF"/>
          <w:sz w:val="22"/>
          <w:szCs w:val="22"/>
          <w:lang w:eastAsia="en-US"/>
        </w:rPr>
        <w:t xml:space="preserve">                </w:t>
      </w:r>
      <w:r w:rsidRPr="00AE4FE6">
        <w:rPr>
          <w:rFonts w:ascii="Gadugi" w:eastAsia="Calibri" w:hAnsi="Gadugi"/>
          <w:b/>
          <w:i/>
          <w:noProof/>
          <w:color w:val="404040" w:themeColor="text1" w:themeTint="BF"/>
          <w:sz w:val="22"/>
          <w:szCs w:val="22"/>
        </w:rPr>
        <w:drawing>
          <wp:inline distT="0" distB="0" distL="0" distR="0" wp14:anchorId="02041C61" wp14:editId="72C16EA1">
            <wp:extent cx="255905" cy="23177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5" cy="234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5208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O</w:t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pinions positives très majoritaires </w:t>
      </w:r>
    </w:p>
    <w:p w:rsidR="00C63D12" w:rsidRPr="00AE4FE6" w:rsidRDefault="00C63D12" w:rsidP="00C63D12">
      <w:pPr>
        <w:spacing w:after="160" w:line="256" w:lineRule="auto"/>
        <w:ind w:left="720"/>
        <w:contextualSpacing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        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7542A3EB" wp14:editId="1897777F">
            <wp:extent cx="250190" cy="262255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O</w:t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pinions négatives très majoritaires  </w:t>
      </w:r>
      <w:r w:rsidRPr="00AE4FE6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</w:t>
      </w:r>
    </w:p>
    <w:p w:rsidR="00C63D12" w:rsidRDefault="00C63D12" w:rsidP="00C63D12">
      <w:pPr>
        <w:spacing w:after="160" w:line="256" w:lineRule="auto"/>
        <w:ind w:left="720"/>
        <w:contextualSpacing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             </w:t>
      </w:r>
      <w:r w:rsidRPr="00AE4FE6">
        <w:rPr>
          <w:rFonts w:ascii="Gadugi" w:eastAsia="Calibri" w:hAnsi="Gadugi"/>
          <w:noProof/>
          <w:color w:val="404040" w:themeColor="text1" w:themeTint="BF"/>
          <w:sz w:val="22"/>
          <w:szCs w:val="22"/>
        </w:rPr>
        <w:drawing>
          <wp:inline distT="0" distB="0" distL="0" distR="0" wp14:anchorId="163A7674" wp14:editId="5BDEEAEC">
            <wp:extent cx="255905" cy="26797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O</w:t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pinions mitigées ou non majoritaires</w:t>
      </w:r>
    </w:p>
    <w:p w:rsidR="00C63D12" w:rsidRDefault="00C63D12" w:rsidP="00C63D12">
      <w:pPr>
        <w:spacing w:after="160" w:line="256" w:lineRule="auto"/>
        <w:ind w:left="720"/>
        <w:contextualSpacing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pStyle w:val="Paragraphedeliste"/>
        <w:numPr>
          <w:ilvl w:val="0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481162B" wp14:editId="673C2DE2">
            <wp:simplePos x="0" y="0"/>
            <wp:positionH relativeFrom="column">
              <wp:posOffset>309880</wp:posOffset>
            </wp:positionH>
            <wp:positionV relativeFrom="paragraph">
              <wp:posOffset>13335</wp:posOffset>
            </wp:positionV>
            <wp:extent cx="255905" cy="23177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5208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L’information doit permettre aux citoyens de comprendre que la mise en évidence de particularités génétique n’est pas systématiquement la cause d’une maladie (rôle de l’épigénétique)</w:t>
      </w: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.</w:t>
      </w:r>
    </w:p>
    <w:p w:rsidR="00C63D12" w:rsidRDefault="00C63D12" w:rsidP="00C63D12">
      <w:pPr>
        <w:pStyle w:val="Paragraphedeliste"/>
        <w:spacing w:after="160" w:line="256" w:lineRule="auto"/>
        <w:ind w:left="1440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E3820C1" wp14:editId="4A4D9049">
            <wp:simplePos x="0" y="0"/>
            <wp:positionH relativeFrom="column">
              <wp:posOffset>292100</wp:posOffset>
            </wp:positionH>
            <wp:positionV relativeFrom="paragraph">
              <wp:posOffset>160020</wp:posOffset>
            </wp:positionV>
            <wp:extent cx="255905" cy="23177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D12" w:rsidRDefault="00C63D12" w:rsidP="00C63D12">
      <w:pPr>
        <w:pStyle w:val="Paragraphedeliste"/>
        <w:numPr>
          <w:ilvl w:val="0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Le dépistage pré-</w:t>
      </w:r>
      <w:proofErr w:type="spellStart"/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conceptionnel</w:t>
      </w:r>
      <w:proofErr w:type="spellEnd"/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 xml:space="preserve"> des maladies familiales à transmission génétique est utile.</w:t>
      </w:r>
    </w:p>
    <w:p w:rsidR="00C63D12" w:rsidRPr="00165208" w:rsidRDefault="00C63D12" w:rsidP="00C63D12">
      <w:pPr>
        <w:pStyle w:val="Paragraphedeliste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0DFDBEF" wp14:editId="27050A63">
            <wp:simplePos x="0" y="0"/>
            <wp:positionH relativeFrom="column">
              <wp:posOffset>300355</wp:posOffset>
            </wp:positionH>
            <wp:positionV relativeFrom="paragraph">
              <wp:posOffset>141605</wp:posOffset>
            </wp:positionV>
            <wp:extent cx="255905" cy="231775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D12" w:rsidRDefault="00C63D12" w:rsidP="00C63D12">
      <w:pPr>
        <w:pStyle w:val="Paragraphedeliste"/>
        <w:numPr>
          <w:ilvl w:val="0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Le dépistage néo-natal des 5 maladies ciblées actuellement est utile.</w:t>
      </w:r>
    </w:p>
    <w:p w:rsidR="00C63D12" w:rsidRPr="00165208" w:rsidRDefault="00C63D12" w:rsidP="00C63D12">
      <w:pPr>
        <w:pStyle w:val="Paragraphedeliste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Default="00C63D12" w:rsidP="00C63D12">
      <w:pPr>
        <w:pStyle w:val="Paragraphedeliste"/>
        <w:numPr>
          <w:ilvl w:val="0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8D16CE7" wp14:editId="754BCC7B">
            <wp:simplePos x="0" y="0"/>
            <wp:positionH relativeFrom="column">
              <wp:posOffset>309880</wp:posOffset>
            </wp:positionH>
            <wp:positionV relativeFrom="paragraph">
              <wp:posOffset>6985</wp:posOffset>
            </wp:positionV>
            <wp:extent cx="250190" cy="262255"/>
            <wp:effectExtent l="0" t="0" r="0" b="444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L’extension du dépistage systématique à d’autres maladies n’est pas demandée.</w:t>
      </w:r>
    </w:p>
    <w:p w:rsidR="00C63D12" w:rsidRPr="00165208" w:rsidRDefault="00C63D12" w:rsidP="00C63D12">
      <w:pPr>
        <w:pStyle w:val="Paragraphedeliste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07D6A1D" wp14:editId="465CB161">
            <wp:simplePos x="0" y="0"/>
            <wp:positionH relativeFrom="column">
              <wp:posOffset>347980</wp:posOffset>
            </wp:positionH>
            <wp:positionV relativeFrom="paragraph">
              <wp:posOffset>182245</wp:posOffset>
            </wp:positionV>
            <wp:extent cx="250190" cy="262255"/>
            <wp:effectExtent l="0" t="0" r="0" b="444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D12" w:rsidRDefault="00C63D12" w:rsidP="00C63D12">
      <w:pPr>
        <w:pStyle w:val="Paragraphedeliste"/>
        <w:numPr>
          <w:ilvl w:val="0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La libéralisation du séquençage massif n’est généralement pas demandée en raison des risques :</w:t>
      </w:r>
    </w:p>
    <w:p w:rsidR="00C63D12" w:rsidRPr="00165208" w:rsidRDefault="00C63D12" w:rsidP="00C63D12">
      <w:pPr>
        <w:pStyle w:val="Paragraphedeliste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A1B3970" wp14:editId="11776A30">
            <wp:simplePos x="0" y="0"/>
            <wp:positionH relativeFrom="column">
              <wp:posOffset>862330</wp:posOffset>
            </wp:positionH>
            <wp:positionV relativeFrom="paragraph">
              <wp:posOffset>161925</wp:posOffset>
            </wp:positionV>
            <wp:extent cx="182880" cy="194945"/>
            <wp:effectExtent l="0" t="0" r="762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D12" w:rsidRDefault="00C63D12" w:rsidP="00C63D12">
      <w:pPr>
        <w:pStyle w:val="Paragraphedeliste"/>
        <w:numPr>
          <w:ilvl w:val="1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B5CEFA5" wp14:editId="17626BBA">
            <wp:simplePos x="0" y="0"/>
            <wp:positionH relativeFrom="column">
              <wp:posOffset>881380</wp:posOffset>
            </wp:positionH>
            <wp:positionV relativeFrom="paragraph">
              <wp:posOffset>185420</wp:posOffset>
            </wp:positionV>
            <wp:extent cx="182880" cy="194945"/>
            <wp:effectExtent l="0" t="0" r="762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Anxiogènes surtout en l’absence de traitement possible</w:t>
      </w:r>
    </w:p>
    <w:p w:rsidR="00C63D12" w:rsidRDefault="00C63D12" w:rsidP="00C63D12">
      <w:pPr>
        <w:pStyle w:val="Paragraphedeliste"/>
        <w:numPr>
          <w:ilvl w:val="1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De dérives eugénistes</w:t>
      </w:r>
    </w:p>
    <w:p w:rsidR="00C63D12" w:rsidRDefault="00C63D12" w:rsidP="00C63D12">
      <w:pPr>
        <w:pStyle w:val="Paragraphedeliste"/>
        <w:numPr>
          <w:ilvl w:val="1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1BEA2AE4" wp14:editId="017C3656">
            <wp:simplePos x="0" y="0"/>
            <wp:positionH relativeFrom="column">
              <wp:posOffset>881380</wp:posOffset>
            </wp:positionH>
            <wp:positionV relativeFrom="paragraph">
              <wp:posOffset>8255</wp:posOffset>
            </wp:positionV>
            <wp:extent cx="182880" cy="194945"/>
            <wp:effectExtent l="0" t="0" r="762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D’exploitation des données par les assureurs ou employeurs</w:t>
      </w:r>
    </w:p>
    <w:p w:rsidR="00C63D12" w:rsidRDefault="00C63D12" w:rsidP="00C63D12">
      <w:pPr>
        <w:pStyle w:val="Paragraphedeliste"/>
        <w:numPr>
          <w:ilvl w:val="1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noProof/>
          <w:color w:val="404040" w:themeColor="text1" w:themeTint="BF"/>
          <w:sz w:val="22"/>
          <w:szCs w:val="22"/>
        </w:rPr>
        <w:lastRenderedPageBreak/>
        <w:drawing>
          <wp:anchor distT="0" distB="0" distL="114300" distR="114300" simplePos="0" relativeHeight="251667456" behindDoc="1" locked="0" layoutInCell="1" allowOverlap="1" wp14:anchorId="69331BF8" wp14:editId="68C4F43C">
            <wp:simplePos x="0" y="0"/>
            <wp:positionH relativeFrom="column">
              <wp:posOffset>948055</wp:posOffset>
            </wp:positionH>
            <wp:positionV relativeFrom="paragraph">
              <wp:posOffset>5080</wp:posOffset>
            </wp:positionV>
            <wp:extent cx="182880" cy="189230"/>
            <wp:effectExtent l="0" t="0" r="7620" b="12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De modélisation et normalisation de la société</w:t>
      </w:r>
    </w:p>
    <w:p w:rsidR="00C63D12" w:rsidRPr="00165208" w:rsidRDefault="00C63D12" w:rsidP="00C63D12">
      <w:pPr>
        <w:pStyle w:val="Paragraphedeliste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Pr="00AE4FE6" w:rsidRDefault="00C63D12" w:rsidP="00C63D12">
      <w:pPr>
        <w:spacing w:line="256" w:lineRule="auto"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78AB1F73" wp14:editId="57E27863">
            <wp:simplePos x="0" y="0"/>
            <wp:positionH relativeFrom="column">
              <wp:posOffset>328930</wp:posOffset>
            </wp:positionH>
            <wp:positionV relativeFrom="paragraph">
              <wp:posOffset>201930</wp:posOffset>
            </wp:positionV>
            <wp:extent cx="255905" cy="26797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4FE6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 xml:space="preserve">               </w:t>
      </w:r>
    </w:p>
    <w:p w:rsidR="00C63D12" w:rsidRDefault="00C63D12" w:rsidP="00C63D12">
      <w:pPr>
        <w:pStyle w:val="Paragraphedeliste"/>
        <w:numPr>
          <w:ilvl w:val="0"/>
          <w:numId w:val="13"/>
        </w:numPr>
        <w:spacing w:after="160"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Les conséquences financières d’un séquençage plus étendu et systématique doivent être évaluées pour éclairer la répartition des ressources en santé.</w:t>
      </w:r>
    </w:p>
    <w:p w:rsidR="00C63D12" w:rsidRPr="00AE4FE6" w:rsidRDefault="00C63D12" w:rsidP="00C63D12">
      <w:pPr>
        <w:jc w:val="both"/>
        <w:rPr>
          <w:rFonts w:ascii="Gadugi" w:eastAsia="Times New Roman" w:hAnsi="Gadugi"/>
          <w:color w:val="404040" w:themeColor="text1" w:themeTint="BF"/>
          <w:sz w:val="22"/>
          <w:szCs w:val="22"/>
        </w:rPr>
      </w:pPr>
    </w:p>
    <w:p w:rsidR="00C63D12" w:rsidRPr="00AE4FE6" w:rsidRDefault="00C63D12" w:rsidP="00C63D12">
      <w:pPr>
        <w:ind w:left="1560" w:hanging="1560"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Times New Roman" w:hAnsi="Gadugi"/>
          <w:color w:val="404040" w:themeColor="text1" w:themeTint="BF"/>
          <w:sz w:val="22"/>
          <w:szCs w:val="22"/>
        </w:rPr>
        <w:t xml:space="preserve">                   </w:t>
      </w:r>
    </w:p>
    <w:p w:rsidR="00C63D12" w:rsidRPr="00AE4FE6" w:rsidRDefault="00C63D12" w:rsidP="00C63D12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>Propositions de loi ou recommandations :</w:t>
      </w:r>
    </w:p>
    <w:p w:rsidR="00C63D12" w:rsidRDefault="00C63D12" w:rsidP="00C63D12">
      <w:pPr>
        <w:spacing w:line="276" w:lineRule="auto"/>
        <w:ind w:left="720" w:hanging="1004"/>
        <w:jc w:val="both"/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</w:pPr>
      <w:r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              </w:t>
      </w:r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(</w:t>
      </w:r>
      <w:proofErr w:type="gramStart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>entre</w:t>
      </w:r>
      <w:proofErr w:type="gramEnd"/>
      <w:r w:rsidRPr="00AE4FE6"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  <w:t xml:space="preserve"> parenthèse figurent les références éthiques)</w:t>
      </w: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</w:t>
      </w:r>
    </w:p>
    <w:p w:rsidR="00C63D12" w:rsidRPr="00AE4FE6" w:rsidRDefault="00C63D12" w:rsidP="00C63D12">
      <w:pPr>
        <w:spacing w:line="276" w:lineRule="auto"/>
        <w:ind w:left="720" w:hanging="1004"/>
        <w:jc w:val="both"/>
        <w:rPr>
          <w:rFonts w:ascii="Gadugi" w:eastAsia="Calibri" w:hAnsi="Gadugi"/>
          <w:i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Cs/>
          <w:color w:val="404040" w:themeColor="text1" w:themeTint="BF"/>
          <w:sz w:val="22"/>
          <w:szCs w:val="22"/>
          <w:lang w:eastAsia="en-US"/>
        </w:rPr>
        <w:t xml:space="preserve">             </w:t>
      </w:r>
      <w:r w:rsidRPr="00AE4FE6">
        <w:rPr>
          <w:rFonts w:ascii="Gadugi" w:eastAsia="Times New Roman" w:hAnsi="Gadugi"/>
          <w:color w:val="404040" w:themeColor="text1" w:themeTint="BF"/>
          <w:sz w:val="22"/>
          <w:szCs w:val="22"/>
        </w:rPr>
        <w:t xml:space="preserve">                            </w:t>
      </w:r>
    </w:p>
    <w:p w:rsidR="00C63D12" w:rsidRDefault="00C63D12" w:rsidP="00C63D12">
      <w:pPr>
        <w:pStyle w:val="Paragraphedeliste"/>
        <w:numPr>
          <w:ilvl w:val="0"/>
          <w:numId w:val="14"/>
        </w:numPr>
        <w:spacing w:line="256" w:lineRule="auto"/>
        <w:jc w:val="both"/>
        <w:rPr>
          <w:rFonts w:ascii="Gadugi" w:eastAsia="Times New Roman" w:hAnsi="Gadugi"/>
          <w:bCs/>
          <w:color w:val="404040" w:themeColor="text1" w:themeTint="BF"/>
          <w:sz w:val="22"/>
          <w:szCs w:val="22"/>
        </w:rPr>
      </w:pP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>Pas de demande exprimée par les participants en faveur de l’extension du séquençage</w:t>
      </w:r>
      <w:r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>.</w:t>
      </w: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 xml:space="preserve">  </w:t>
      </w:r>
    </w:p>
    <w:p w:rsidR="00C63D12" w:rsidRPr="00BD420D" w:rsidRDefault="00C63D12" w:rsidP="00C63D12">
      <w:pPr>
        <w:pStyle w:val="Paragraphedeliste"/>
        <w:spacing w:line="256" w:lineRule="auto"/>
        <w:ind w:left="1068"/>
        <w:jc w:val="both"/>
        <w:rPr>
          <w:rFonts w:ascii="Gadugi" w:eastAsia="Times New Roman" w:hAnsi="Gadugi"/>
          <w:bCs/>
          <w:color w:val="404040" w:themeColor="text1" w:themeTint="BF"/>
          <w:sz w:val="22"/>
          <w:szCs w:val="22"/>
        </w:rPr>
      </w:pP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 xml:space="preserve"> </w:t>
      </w:r>
    </w:p>
    <w:p w:rsidR="00C63D12" w:rsidRPr="00BD420D" w:rsidRDefault="00C63D12" w:rsidP="00C63D12">
      <w:pPr>
        <w:pStyle w:val="Paragraphedeliste"/>
        <w:numPr>
          <w:ilvl w:val="0"/>
          <w:numId w:val="14"/>
        </w:numPr>
        <w:spacing w:line="256" w:lineRule="auto"/>
        <w:jc w:val="both"/>
        <w:rPr>
          <w:rFonts w:ascii="Gadugi" w:eastAsia="Times New Roman" w:hAnsi="Gadugi"/>
          <w:color w:val="404040" w:themeColor="text1" w:themeTint="BF"/>
          <w:sz w:val="22"/>
          <w:szCs w:val="22"/>
        </w:rPr>
      </w:pP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 xml:space="preserve">Protection des données personnelles </w:t>
      </w:r>
      <w:r w:rsidRPr="00BD420D"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  <w:t>(autonomie-non malfaisance)</w:t>
      </w:r>
      <w:r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  <w:t>.</w:t>
      </w:r>
    </w:p>
    <w:p w:rsidR="00C63D12" w:rsidRPr="00BD420D" w:rsidRDefault="00C63D12" w:rsidP="00C63D12">
      <w:pPr>
        <w:pStyle w:val="Paragraphedeliste"/>
        <w:rPr>
          <w:rFonts w:ascii="Gadugi" w:eastAsia="Times New Roman" w:hAnsi="Gadugi"/>
          <w:color w:val="404040" w:themeColor="text1" w:themeTint="BF"/>
          <w:sz w:val="22"/>
          <w:szCs w:val="22"/>
        </w:rPr>
      </w:pPr>
    </w:p>
    <w:p w:rsidR="00C63D12" w:rsidRPr="00BD420D" w:rsidRDefault="00C63D12" w:rsidP="00C63D12">
      <w:pPr>
        <w:pStyle w:val="Paragraphedeliste"/>
        <w:numPr>
          <w:ilvl w:val="0"/>
          <w:numId w:val="14"/>
        </w:numPr>
        <w:spacing w:line="256" w:lineRule="auto"/>
        <w:jc w:val="both"/>
        <w:rPr>
          <w:rFonts w:ascii="Gadugi" w:eastAsia="Times New Roman" w:hAnsi="Gadugi"/>
          <w:color w:val="404040" w:themeColor="text1" w:themeTint="BF"/>
          <w:sz w:val="22"/>
          <w:szCs w:val="22"/>
        </w:rPr>
      </w:pP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 xml:space="preserve">Nécessité de sensibilisation et d’information systématique des citoyens   dès le stade scolaire / universitaire </w:t>
      </w:r>
      <w:r w:rsidRPr="00BD420D"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  <w:t>(information)</w:t>
      </w:r>
      <w:r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  <w:t>.</w:t>
      </w:r>
    </w:p>
    <w:p w:rsidR="00C63D12" w:rsidRPr="00BD420D" w:rsidRDefault="00C63D12" w:rsidP="00C63D12">
      <w:pPr>
        <w:pStyle w:val="Paragraphedeliste"/>
        <w:rPr>
          <w:rFonts w:ascii="Gadugi" w:eastAsia="Times New Roman" w:hAnsi="Gadugi"/>
          <w:color w:val="404040" w:themeColor="text1" w:themeTint="BF"/>
          <w:sz w:val="22"/>
          <w:szCs w:val="22"/>
        </w:rPr>
      </w:pPr>
    </w:p>
    <w:p w:rsidR="00C63D12" w:rsidRDefault="00C63D12" w:rsidP="00C63D12">
      <w:pPr>
        <w:pStyle w:val="Paragraphedeliste"/>
        <w:numPr>
          <w:ilvl w:val="0"/>
          <w:numId w:val="14"/>
        </w:numPr>
        <w:spacing w:line="256" w:lineRule="auto"/>
        <w:jc w:val="both"/>
        <w:rPr>
          <w:rFonts w:ascii="Gadugi" w:eastAsia="Times New Roman" w:hAnsi="Gadugi"/>
          <w:bCs/>
          <w:color w:val="404040" w:themeColor="text1" w:themeTint="BF"/>
          <w:sz w:val="22"/>
          <w:szCs w:val="22"/>
        </w:rPr>
      </w:pP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 xml:space="preserve">Accompagnement humain après séquençage  </w:t>
      </w:r>
      <w:r w:rsidRPr="00BD420D"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  <w:t>(bienfaisance)</w:t>
      </w:r>
      <w:r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>.</w:t>
      </w:r>
    </w:p>
    <w:p w:rsidR="00C63D12" w:rsidRPr="00BD420D" w:rsidRDefault="00C63D12" w:rsidP="00C63D12">
      <w:pPr>
        <w:pStyle w:val="Paragraphedeliste"/>
        <w:rPr>
          <w:rFonts w:ascii="Gadugi" w:eastAsia="Times New Roman" w:hAnsi="Gadugi"/>
          <w:bCs/>
          <w:color w:val="404040" w:themeColor="text1" w:themeTint="BF"/>
          <w:sz w:val="22"/>
          <w:szCs w:val="22"/>
        </w:rPr>
      </w:pPr>
    </w:p>
    <w:p w:rsidR="00C63D12" w:rsidRPr="00BD420D" w:rsidRDefault="00C63D12" w:rsidP="00C63D12">
      <w:pPr>
        <w:pStyle w:val="Paragraphedeliste"/>
        <w:numPr>
          <w:ilvl w:val="0"/>
          <w:numId w:val="14"/>
        </w:numPr>
        <w:spacing w:line="256" w:lineRule="auto"/>
        <w:jc w:val="both"/>
        <w:rPr>
          <w:rFonts w:ascii="Gadugi" w:eastAsia="Times New Roman" w:hAnsi="Gadugi"/>
          <w:color w:val="404040" w:themeColor="text1" w:themeTint="BF"/>
          <w:sz w:val="22"/>
          <w:szCs w:val="22"/>
        </w:rPr>
      </w:pP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>Formation des professionnels à l’information adaptée</w:t>
      </w:r>
      <w:r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>.</w:t>
      </w:r>
    </w:p>
    <w:p w:rsidR="00C63D12" w:rsidRPr="00BD420D" w:rsidRDefault="00C63D12" w:rsidP="00C63D12">
      <w:pPr>
        <w:pStyle w:val="Paragraphedeliste"/>
        <w:rPr>
          <w:rFonts w:ascii="Gadugi" w:eastAsia="Times New Roman" w:hAnsi="Gadugi"/>
          <w:color w:val="404040" w:themeColor="text1" w:themeTint="BF"/>
          <w:sz w:val="22"/>
          <w:szCs w:val="22"/>
        </w:rPr>
      </w:pPr>
    </w:p>
    <w:p w:rsidR="00C63D12" w:rsidRDefault="00C63D12" w:rsidP="00C63D12">
      <w:pPr>
        <w:pStyle w:val="Paragraphedeliste"/>
        <w:numPr>
          <w:ilvl w:val="0"/>
          <w:numId w:val="14"/>
        </w:numPr>
        <w:jc w:val="both"/>
        <w:rPr>
          <w:rFonts w:ascii="Gadugi" w:eastAsia="Times New Roman" w:hAnsi="Gadugi"/>
          <w:bCs/>
          <w:color w:val="404040" w:themeColor="text1" w:themeTint="BF"/>
          <w:sz w:val="22"/>
          <w:szCs w:val="22"/>
        </w:rPr>
      </w:pP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>Refus majoritaire de l’utilisation de la génétique comme outil de « sélection des individus »</w:t>
      </w:r>
      <w:r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>.</w:t>
      </w:r>
    </w:p>
    <w:p w:rsidR="00C63D12" w:rsidRPr="00BD420D" w:rsidRDefault="00C63D12" w:rsidP="00C63D12">
      <w:pPr>
        <w:pStyle w:val="Paragraphedeliste"/>
        <w:rPr>
          <w:rFonts w:ascii="Gadugi" w:eastAsia="Times New Roman" w:hAnsi="Gadugi"/>
          <w:bCs/>
          <w:color w:val="404040" w:themeColor="text1" w:themeTint="BF"/>
          <w:sz w:val="22"/>
          <w:szCs w:val="22"/>
        </w:rPr>
      </w:pPr>
    </w:p>
    <w:p w:rsidR="00C63D12" w:rsidRDefault="00C63D12" w:rsidP="00C63D12">
      <w:pPr>
        <w:pStyle w:val="Paragraphedeliste"/>
        <w:numPr>
          <w:ilvl w:val="0"/>
          <w:numId w:val="14"/>
        </w:numPr>
        <w:jc w:val="both"/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</w:pPr>
      <w:r w:rsidRPr="00BD420D">
        <w:rPr>
          <w:rFonts w:ascii="Gadugi" w:eastAsia="Times New Roman" w:hAnsi="Gadugi"/>
          <w:bCs/>
          <w:color w:val="404040" w:themeColor="text1" w:themeTint="BF"/>
          <w:sz w:val="22"/>
          <w:szCs w:val="22"/>
        </w:rPr>
        <w:t xml:space="preserve">Garantir la liberté de choix individuel  </w:t>
      </w:r>
      <w:r w:rsidRPr="00BD420D"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  <w:t>(liberté-autonomie)</w:t>
      </w:r>
      <w:r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  <w:t>.</w:t>
      </w:r>
    </w:p>
    <w:p w:rsidR="00C63D12" w:rsidRPr="00BD420D" w:rsidRDefault="00C63D12" w:rsidP="00C63D12">
      <w:pPr>
        <w:pStyle w:val="Paragraphedeliste"/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</w:pPr>
    </w:p>
    <w:p w:rsidR="00C63D12" w:rsidRPr="00BD420D" w:rsidRDefault="00C63D12" w:rsidP="00C63D12">
      <w:pPr>
        <w:pStyle w:val="Paragraphedeliste"/>
        <w:ind w:left="1068"/>
        <w:jc w:val="both"/>
        <w:rPr>
          <w:rFonts w:ascii="Gadugi" w:eastAsia="Times New Roman" w:hAnsi="Gadugi"/>
          <w:bCs/>
          <w:i/>
          <w:color w:val="404040" w:themeColor="text1" w:themeTint="BF"/>
          <w:sz w:val="22"/>
          <w:szCs w:val="22"/>
        </w:rPr>
      </w:pPr>
    </w:p>
    <w:p w:rsidR="00C63D12" w:rsidRPr="00AE4FE6" w:rsidRDefault="00C63D12" w:rsidP="00C63D12">
      <w:pPr>
        <w:ind w:left="720"/>
        <w:jc w:val="both"/>
        <w:rPr>
          <w:rFonts w:ascii="Gadugi" w:eastAsia="Times New Roman" w:hAnsi="Gadugi"/>
          <w:color w:val="404040" w:themeColor="text1" w:themeTint="BF"/>
          <w:sz w:val="22"/>
          <w:szCs w:val="22"/>
        </w:rPr>
      </w:pPr>
    </w:p>
    <w:p w:rsidR="00C63D12" w:rsidRPr="00D4719E" w:rsidRDefault="00C63D12" w:rsidP="00C63D1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AE4FE6">
        <w:rPr>
          <w:rFonts w:ascii="Gadugi" w:eastAsia="Calibri" w:hAnsi="Gadugi"/>
          <w:b/>
          <w:color w:val="404040" w:themeColor="text1" w:themeTint="BF"/>
          <w:sz w:val="22"/>
          <w:szCs w:val="22"/>
          <w:lang w:eastAsia="en-US"/>
        </w:rPr>
        <w:t xml:space="preserve">Commentaires des organisateurs </w:t>
      </w:r>
    </w:p>
    <w:p w:rsidR="00C63D12" w:rsidRPr="00AE4FE6" w:rsidRDefault="00C63D12" w:rsidP="00C63D12">
      <w:pPr>
        <w:spacing w:after="160" w:line="256" w:lineRule="auto"/>
        <w:ind w:left="695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Pr="00BD420D" w:rsidRDefault="00C63D12" w:rsidP="00C63D12">
      <w:pPr>
        <w:pStyle w:val="Paragraphedeliste"/>
        <w:numPr>
          <w:ilvl w:val="0"/>
          <w:numId w:val="15"/>
        </w:numPr>
        <w:spacing w:line="259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BD420D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Expression d’une préoccupation face au manque d’information et de formation des citoyens sur ce sujet complexe et ses enjeux insoupçonnés</w:t>
      </w:r>
    </w:p>
    <w:p w:rsidR="00C63D12" w:rsidRPr="00AE4FE6" w:rsidRDefault="00C63D12" w:rsidP="00C63D12">
      <w:pPr>
        <w:spacing w:line="259" w:lineRule="auto"/>
        <w:contextualSpacing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Pr="00BD420D" w:rsidRDefault="00C63D12" w:rsidP="00C63D12">
      <w:pPr>
        <w:pStyle w:val="Paragraphedeliste"/>
        <w:numPr>
          <w:ilvl w:val="0"/>
          <w:numId w:val="15"/>
        </w:numPr>
        <w:spacing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BD420D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Pas de demande d’extension du dépistage ou de libéralisation du séquençage mais l’expression plus vive  chez des jeunes du « droit à savoir »</w:t>
      </w:r>
    </w:p>
    <w:p w:rsidR="00C63D12" w:rsidRPr="00AE4FE6" w:rsidRDefault="00C63D12" w:rsidP="00C63D12">
      <w:pPr>
        <w:spacing w:line="256" w:lineRule="auto"/>
        <w:ind w:left="1068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</w:p>
    <w:p w:rsidR="00C63D12" w:rsidRPr="00BD420D" w:rsidRDefault="00C63D12" w:rsidP="00C63D12">
      <w:pPr>
        <w:pStyle w:val="Paragraphedeliste"/>
        <w:numPr>
          <w:ilvl w:val="0"/>
          <w:numId w:val="15"/>
        </w:numPr>
        <w:spacing w:line="256" w:lineRule="auto"/>
        <w:jc w:val="both"/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</w:pPr>
      <w:r w:rsidRPr="00BD420D">
        <w:rPr>
          <w:rFonts w:ascii="Gadugi" w:eastAsia="Calibri" w:hAnsi="Gadugi"/>
          <w:color w:val="404040" w:themeColor="text1" w:themeTint="BF"/>
          <w:sz w:val="22"/>
          <w:szCs w:val="22"/>
          <w:lang w:eastAsia="en-US"/>
        </w:rPr>
        <w:t>Craintes largement partagées de perte de contrôle de ses données génétiques personnelles et d’un mésusage abusif.</w:t>
      </w:r>
    </w:p>
    <w:p w:rsidR="00C63D12" w:rsidRDefault="00C63D12" w:rsidP="00C63D12">
      <w:pPr>
        <w:spacing w:after="120"/>
        <w:jc w:val="both"/>
        <w:rPr>
          <w:rFonts w:asciiTheme="minorHAnsi" w:hAnsiTheme="minorHAnsi" w:cstheme="minorHAnsi"/>
          <w:b/>
          <w:i/>
          <w:sz w:val="28"/>
        </w:rPr>
      </w:pPr>
    </w:p>
    <w:p w:rsidR="00C63D12" w:rsidRDefault="00C63D12" w:rsidP="00C63D12">
      <w:pPr>
        <w:spacing w:after="120"/>
        <w:jc w:val="both"/>
        <w:rPr>
          <w:rFonts w:asciiTheme="minorHAnsi" w:hAnsiTheme="minorHAnsi" w:cstheme="minorHAnsi"/>
          <w:b/>
          <w:i/>
          <w:sz w:val="28"/>
        </w:rPr>
      </w:pPr>
    </w:p>
    <w:p w:rsidR="00C63D12" w:rsidRDefault="00C63D12" w:rsidP="00C63D12">
      <w:pPr>
        <w:spacing w:after="120"/>
        <w:jc w:val="both"/>
        <w:rPr>
          <w:rFonts w:asciiTheme="minorHAnsi" w:hAnsiTheme="minorHAnsi" w:cstheme="minorHAnsi"/>
          <w:b/>
          <w:i/>
          <w:sz w:val="28"/>
        </w:rPr>
      </w:pPr>
    </w:p>
    <w:p w:rsidR="00243FB6" w:rsidRDefault="00243FB6">
      <w:bookmarkStart w:id="0" w:name="_GoBack"/>
      <w:bookmarkEnd w:id="0"/>
    </w:p>
    <w:sectPr w:rsidR="0024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E10"/>
    <w:multiLevelType w:val="hybridMultilevel"/>
    <w:tmpl w:val="870A155A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570B"/>
    <w:multiLevelType w:val="hybridMultilevel"/>
    <w:tmpl w:val="286059C6"/>
    <w:lvl w:ilvl="0" w:tplc="26ACE6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980DAE"/>
    <w:multiLevelType w:val="hybridMultilevel"/>
    <w:tmpl w:val="0A1AE162"/>
    <w:lvl w:ilvl="0" w:tplc="9C50210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B0744"/>
    <w:multiLevelType w:val="hybridMultilevel"/>
    <w:tmpl w:val="CA1AC432"/>
    <w:lvl w:ilvl="0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20E950AE"/>
    <w:multiLevelType w:val="hybridMultilevel"/>
    <w:tmpl w:val="B3E83C08"/>
    <w:lvl w:ilvl="0" w:tplc="26ACE61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E9197D"/>
    <w:multiLevelType w:val="hybridMultilevel"/>
    <w:tmpl w:val="35BE0F90"/>
    <w:lvl w:ilvl="0" w:tplc="040C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6">
    <w:nsid w:val="397A2999"/>
    <w:multiLevelType w:val="hybridMultilevel"/>
    <w:tmpl w:val="D96C9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E3D5E"/>
    <w:multiLevelType w:val="hybridMultilevel"/>
    <w:tmpl w:val="0BA620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B1D4C"/>
    <w:multiLevelType w:val="hybridMultilevel"/>
    <w:tmpl w:val="EA160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036A7"/>
    <w:multiLevelType w:val="hybridMultilevel"/>
    <w:tmpl w:val="AB626E8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7F2420"/>
    <w:multiLevelType w:val="hybridMultilevel"/>
    <w:tmpl w:val="4002DCF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DF62A1"/>
    <w:multiLevelType w:val="hybridMultilevel"/>
    <w:tmpl w:val="EA5EBA16"/>
    <w:lvl w:ilvl="0" w:tplc="410E0A40">
      <w:start w:val="1"/>
      <w:numFmt w:val="bullet"/>
      <w:lvlText w:val="−"/>
      <w:lvlJc w:val="left"/>
      <w:pPr>
        <w:ind w:left="720" w:hanging="360"/>
      </w:pPr>
      <w:rPr>
        <w:rFonts w:ascii="Gadugi" w:hAnsi="Gadug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1634C"/>
    <w:multiLevelType w:val="hybridMultilevel"/>
    <w:tmpl w:val="03D69926"/>
    <w:lvl w:ilvl="0" w:tplc="26ACE612">
      <w:start w:val="4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7449701A"/>
    <w:multiLevelType w:val="hybridMultilevel"/>
    <w:tmpl w:val="B2641CD2"/>
    <w:lvl w:ilvl="0" w:tplc="410E0A40">
      <w:start w:val="1"/>
      <w:numFmt w:val="bullet"/>
      <w:lvlText w:val="−"/>
      <w:lvlJc w:val="left"/>
      <w:pPr>
        <w:ind w:left="1068" w:hanging="360"/>
      </w:pPr>
      <w:rPr>
        <w:rFonts w:ascii="Gadugi" w:hAnsi="Gadug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D12FFA"/>
    <w:multiLevelType w:val="hybridMultilevel"/>
    <w:tmpl w:val="950A1074"/>
    <w:lvl w:ilvl="0" w:tplc="410E0A40">
      <w:start w:val="1"/>
      <w:numFmt w:val="bullet"/>
      <w:lvlText w:val="−"/>
      <w:lvlJc w:val="left"/>
      <w:pPr>
        <w:ind w:left="1055" w:hanging="360"/>
      </w:pPr>
      <w:rPr>
        <w:rFonts w:ascii="Gadugi" w:hAnsi="Gadugi" w:hint="default"/>
      </w:rPr>
    </w:lvl>
    <w:lvl w:ilvl="1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2"/>
    <w:rsid w:val="00243FB6"/>
    <w:rsid w:val="00C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1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D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D12"/>
    <w:rPr>
      <w:rFonts w:ascii="Tahoma" w:eastAsia="MS Mincho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1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D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D12"/>
    <w:rPr>
      <w:rFonts w:ascii="Tahoma" w:eastAsia="MS Mincho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EREMIP</dc:creator>
  <cp:lastModifiedBy>EREMIP</cp:lastModifiedBy>
  <cp:revision>1</cp:revision>
  <dcterms:created xsi:type="dcterms:W3CDTF">2019-05-23T13:09:00Z</dcterms:created>
  <dcterms:modified xsi:type="dcterms:W3CDTF">2019-05-23T13:12:00Z</dcterms:modified>
</cp:coreProperties>
</file>